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CB579" w14:textId="77777777" w:rsidR="00E1218F" w:rsidRDefault="00000000">
      <w:pPr>
        <w:spacing w:after="80"/>
        <w:jc w:val="center"/>
      </w:pPr>
      <w:r>
        <w:rPr>
          <w:b/>
          <w:bCs/>
          <w:color w:val="1F3864"/>
          <w:sz w:val="36"/>
          <w:szCs w:val="36"/>
        </w:rPr>
        <w:t>Postdoctoral Research Position</w:t>
      </w:r>
    </w:p>
    <w:p w14:paraId="5FEACBEE" w14:textId="77777777" w:rsidR="00E1218F" w:rsidRDefault="00000000">
      <w:pPr>
        <w:spacing w:after="40"/>
        <w:jc w:val="center"/>
      </w:pPr>
      <w:r>
        <w:rPr>
          <w:color w:val="404040"/>
          <w:sz w:val="26"/>
          <w:szCs w:val="26"/>
        </w:rPr>
        <w:t>Department of Electrical Engineering</w:t>
      </w:r>
    </w:p>
    <w:p w14:paraId="4D9E55A8" w14:textId="77777777" w:rsidR="00E1218F" w:rsidRDefault="00000000">
      <w:pPr>
        <w:spacing w:after="320"/>
        <w:jc w:val="center"/>
      </w:pPr>
      <w:r>
        <w:rPr>
          <w:color w:val="404040"/>
          <w:sz w:val="26"/>
          <w:szCs w:val="26"/>
        </w:rPr>
        <w:t>National Sun Yat-sen University, Kaohsiung, Taiwan</w:t>
      </w:r>
    </w:p>
    <w:p w14:paraId="4E48F2F6" w14:textId="77777777" w:rsidR="00E1218F" w:rsidRDefault="00E1218F">
      <w:pPr>
        <w:pBdr>
          <w:bottom w:val="single" w:sz="6" w:space="1" w:color="2E5496"/>
        </w:pBdr>
        <w:spacing w:after="240"/>
      </w:pPr>
    </w:p>
    <w:p w14:paraId="5F9D948B" w14:textId="77777777" w:rsidR="00E1218F" w:rsidRPr="00861CA8" w:rsidRDefault="00000000">
      <w:pPr>
        <w:pStyle w:val="Heading1"/>
        <w:rPr>
          <w:lang w:val="en-US"/>
        </w:rPr>
      </w:pPr>
      <w:r w:rsidRPr="00861CA8">
        <w:rPr>
          <w:lang w:val="en-US"/>
        </w:rPr>
        <w:t>Position Overview</w:t>
      </w:r>
    </w:p>
    <w:p w14:paraId="3B5875C8" w14:textId="77777777" w:rsidR="00E1218F" w:rsidRPr="00861CA8" w:rsidRDefault="00000000">
      <w:pPr>
        <w:spacing w:after="160"/>
        <w:jc w:val="both"/>
        <w:rPr>
          <w:lang w:val="en-US"/>
        </w:rPr>
      </w:pPr>
      <w:r w:rsidRPr="00861CA8">
        <w:rPr>
          <w:lang w:val="en-US"/>
        </w:rPr>
        <w:t>The research group of Prof. Kin Cheong Sou at the Department of Electrical Engineering, National Sun Yat-sen University (NSYSU), invites applications for a Postdoctoral Research position in power systems analysis and control. The position is funded under international EU/Swedish/Taiwan collaborative research projects with KTH Royal Institute of Technology, Stockholm, Sweden.</w:t>
      </w:r>
    </w:p>
    <w:p w14:paraId="4BAB58F7" w14:textId="77777777" w:rsidR="00E1218F" w:rsidRPr="00861CA8" w:rsidRDefault="00000000">
      <w:pPr>
        <w:spacing w:after="160"/>
        <w:jc w:val="both"/>
        <w:rPr>
          <w:lang w:val="en-US"/>
        </w:rPr>
      </w:pPr>
      <w:r w:rsidRPr="00861CA8">
        <w:rPr>
          <w:lang w:val="en-US"/>
        </w:rPr>
        <w:t>The initial appointment is for one year, with the possibility of extension to a second and third year subject to satisfactory performance and continued funding.</w:t>
      </w:r>
    </w:p>
    <w:p w14:paraId="0780D75F" w14:textId="77777777" w:rsidR="00E1218F" w:rsidRPr="00861CA8" w:rsidRDefault="00000000">
      <w:pPr>
        <w:pStyle w:val="Heading1"/>
        <w:rPr>
          <w:lang w:val="en-US"/>
        </w:rPr>
      </w:pPr>
      <w:r w:rsidRPr="00861CA8">
        <w:rPr>
          <w:lang w:val="en-US"/>
        </w:rPr>
        <w:t>Research Topics</w:t>
      </w:r>
    </w:p>
    <w:p w14:paraId="74D3109B" w14:textId="77777777" w:rsidR="00E1218F" w:rsidRPr="00861CA8" w:rsidRDefault="00000000">
      <w:pPr>
        <w:spacing w:after="120"/>
        <w:jc w:val="both"/>
        <w:rPr>
          <w:lang w:val="en-US"/>
        </w:rPr>
      </w:pPr>
      <w:r w:rsidRPr="00861CA8">
        <w:rPr>
          <w:lang w:val="en-US"/>
        </w:rPr>
        <w:t>The successful candidate will conduct research at the intersection of power systems analysis, optimization, and control. Sample research topics include, but are not limited to:</w:t>
      </w:r>
    </w:p>
    <w:p w14:paraId="6030F3E2" w14:textId="77777777" w:rsidR="00E1218F" w:rsidRPr="00861CA8" w:rsidRDefault="00000000">
      <w:pPr>
        <w:pStyle w:val="ListParagraph"/>
        <w:numPr>
          <w:ilvl w:val="0"/>
          <w:numId w:val="2"/>
        </w:numPr>
        <w:spacing w:after="80"/>
        <w:rPr>
          <w:lang w:val="en-US"/>
        </w:rPr>
      </w:pPr>
      <w:r w:rsidRPr="00861CA8">
        <w:rPr>
          <w:lang w:val="en-US"/>
        </w:rPr>
        <w:t>Worst-case and probabilistic load flow analysis for three-phase unbalanced distribution systems;</w:t>
      </w:r>
    </w:p>
    <w:p w14:paraId="5108FC64" w14:textId="77777777" w:rsidR="00E1218F" w:rsidRPr="00861CA8" w:rsidRDefault="00000000">
      <w:pPr>
        <w:pStyle w:val="ListParagraph"/>
        <w:numPr>
          <w:ilvl w:val="0"/>
          <w:numId w:val="2"/>
        </w:numPr>
        <w:spacing w:after="80"/>
        <w:rPr>
          <w:lang w:val="en-US"/>
        </w:rPr>
      </w:pPr>
      <w:r w:rsidRPr="00861CA8">
        <w:rPr>
          <w:lang w:val="en-US"/>
        </w:rPr>
        <w:t>Robust network reconfiguration and optimal power flow under uncertainty;</w:t>
      </w:r>
    </w:p>
    <w:p w14:paraId="60C7799E" w14:textId="77777777" w:rsidR="00E1218F" w:rsidRPr="00861CA8" w:rsidRDefault="00000000">
      <w:pPr>
        <w:pStyle w:val="ListParagraph"/>
        <w:numPr>
          <w:ilvl w:val="0"/>
          <w:numId w:val="2"/>
        </w:numPr>
        <w:spacing w:after="80"/>
        <w:rPr>
          <w:lang w:val="en-US"/>
        </w:rPr>
      </w:pPr>
      <w:r w:rsidRPr="00861CA8">
        <w:rPr>
          <w:lang w:val="en-US"/>
        </w:rPr>
        <w:t>Mathematical modeling and control for inverter-dominated power systems.</w:t>
      </w:r>
    </w:p>
    <w:p w14:paraId="5F9194D0" w14:textId="77777777" w:rsidR="00E1218F" w:rsidRPr="00861CA8" w:rsidRDefault="00000000">
      <w:pPr>
        <w:pStyle w:val="Heading1"/>
        <w:spacing w:before="160"/>
        <w:rPr>
          <w:lang w:val="en-US"/>
        </w:rPr>
      </w:pPr>
      <w:r w:rsidRPr="00861CA8">
        <w:rPr>
          <w:lang w:val="en-US"/>
        </w:rPr>
        <w:t>International Collaboration</w:t>
      </w:r>
    </w:p>
    <w:p w14:paraId="6F06D769" w14:textId="7263DD38" w:rsidR="00E1218F" w:rsidRPr="00717D81" w:rsidRDefault="00000000">
      <w:pPr>
        <w:spacing w:after="160"/>
        <w:jc w:val="both"/>
        <w:rPr>
          <w:lang w:val="en-US"/>
        </w:rPr>
      </w:pPr>
      <w:r w:rsidRPr="00861CA8">
        <w:rPr>
          <w:lang w:val="en-US"/>
        </w:rPr>
        <w:t>The position involves significant collaboration with Prof. Henrik Sandberg at the D</w:t>
      </w:r>
      <w:r w:rsidR="00872306">
        <w:rPr>
          <w:lang w:val="en-US"/>
        </w:rPr>
        <w:t>epartment</w:t>
      </w:r>
      <w:r w:rsidRPr="00861CA8">
        <w:rPr>
          <w:lang w:val="en-US"/>
        </w:rPr>
        <w:t xml:space="preserve"> of Decision and Control Systems, KTH Royal Institute of Technology, Stockholm, Sweden. The postdoctoral researcher is expected to spend an extended period at KTH, up to six months over the course of the appointment.</w:t>
      </w:r>
    </w:p>
    <w:p w14:paraId="7482CDE7" w14:textId="77777777" w:rsidR="00E1218F" w:rsidRPr="00717D81" w:rsidRDefault="00000000">
      <w:pPr>
        <w:pStyle w:val="Heading1"/>
        <w:rPr>
          <w:lang w:val="en-US"/>
        </w:rPr>
      </w:pPr>
      <w:r w:rsidRPr="00717D81">
        <w:rPr>
          <w:lang w:val="en-US"/>
        </w:rPr>
        <w:t>Qualifications</w:t>
      </w:r>
    </w:p>
    <w:p w14:paraId="5922135F" w14:textId="77777777" w:rsidR="00E1218F" w:rsidRPr="00717D81" w:rsidRDefault="00000000">
      <w:pPr>
        <w:pStyle w:val="Heading2"/>
        <w:rPr>
          <w:lang w:val="en-US"/>
        </w:rPr>
      </w:pPr>
      <w:r w:rsidRPr="00717D81">
        <w:rPr>
          <w:lang w:val="en-US"/>
        </w:rPr>
        <w:t>Required</w:t>
      </w:r>
    </w:p>
    <w:p w14:paraId="0B4E187A" w14:textId="77777777" w:rsidR="00E1218F" w:rsidRPr="00717D81" w:rsidRDefault="00000000">
      <w:pPr>
        <w:pStyle w:val="ListParagraph"/>
        <w:numPr>
          <w:ilvl w:val="0"/>
          <w:numId w:val="2"/>
        </w:numPr>
        <w:spacing w:after="80"/>
        <w:rPr>
          <w:lang w:val="en-US"/>
        </w:rPr>
      </w:pPr>
      <w:r w:rsidRPr="00717D81">
        <w:rPr>
          <w:lang w:val="en-US"/>
        </w:rPr>
        <w:t>A PhD degree (or near completion) in Electrical Engineering, Applied Mathematics, Automatic Control, or a closely related discipline;</w:t>
      </w:r>
    </w:p>
    <w:p w14:paraId="4E0DC88D" w14:textId="77777777" w:rsidR="00E1218F" w:rsidRPr="00717D81" w:rsidRDefault="00000000">
      <w:pPr>
        <w:pStyle w:val="ListParagraph"/>
        <w:numPr>
          <w:ilvl w:val="0"/>
          <w:numId w:val="2"/>
        </w:numPr>
        <w:spacing w:after="80"/>
        <w:rPr>
          <w:lang w:val="en-US"/>
        </w:rPr>
      </w:pPr>
      <w:r w:rsidRPr="00717D81">
        <w:rPr>
          <w:lang w:val="en-US"/>
        </w:rPr>
        <w:t>Strong mathematical maturity, including experience with optimization modeling and/or dynamical systems;</w:t>
      </w:r>
    </w:p>
    <w:p w14:paraId="01D3A6F6" w14:textId="77777777" w:rsidR="00E1218F" w:rsidRPr="00717D81" w:rsidRDefault="00000000">
      <w:pPr>
        <w:pStyle w:val="ListParagraph"/>
        <w:numPr>
          <w:ilvl w:val="0"/>
          <w:numId w:val="2"/>
        </w:numPr>
        <w:spacing w:after="80"/>
        <w:rPr>
          <w:lang w:val="en-US"/>
        </w:rPr>
      </w:pPr>
      <w:r w:rsidRPr="00717D81">
        <w:rPr>
          <w:lang w:val="en-US"/>
        </w:rPr>
        <w:t>A demonstrated research record with peer-reviewed publications.</w:t>
      </w:r>
    </w:p>
    <w:p w14:paraId="2FB8E7C3" w14:textId="77777777" w:rsidR="00E1218F" w:rsidRPr="00717D81" w:rsidRDefault="00000000">
      <w:pPr>
        <w:pStyle w:val="Heading2"/>
        <w:spacing w:before="160"/>
        <w:rPr>
          <w:lang w:val="en-US"/>
        </w:rPr>
      </w:pPr>
      <w:r w:rsidRPr="00717D81">
        <w:rPr>
          <w:lang w:val="en-US"/>
        </w:rPr>
        <w:t>Preferred</w:t>
      </w:r>
    </w:p>
    <w:p w14:paraId="639FE6C0" w14:textId="77777777" w:rsidR="00E1218F" w:rsidRPr="00717D81" w:rsidRDefault="00000000">
      <w:pPr>
        <w:spacing w:after="100"/>
        <w:rPr>
          <w:lang w:val="en-US"/>
        </w:rPr>
      </w:pPr>
      <w:r w:rsidRPr="00717D81">
        <w:rPr>
          <w:lang w:val="en-US"/>
        </w:rPr>
        <w:t>Candidates with experience in one or more of the following areas are particularly encouraged to apply:</w:t>
      </w:r>
    </w:p>
    <w:p w14:paraId="08644C77" w14:textId="32ECC774" w:rsidR="00E1218F" w:rsidRPr="00717D81" w:rsidRDefault="00000000">
      <w:pPr>
        <w:pStyle w:val="ListParagraph"/>
        <w:numPr>
          <w:ilvl w:val="0"/>
          <w:numId w:val="2"/>
        </w:numPr>
        <w:spacing w:after="80"/>
        <w:rPr>
          <w:lang w:val="en-US"/>
        </w:rPr>
      </w:pPr>
      <w:r w:rsidRPr="00717D81">
        <w:rPr>
          <w:lang w:val="en-US"/>
        </w:rPr>
        <w:t xml:space="preserve">Mathematical modeling of power distribution systems (e.g., load flow, </w:t>
      </w:r>
      <w:proofErr w:type="spellStart"/>
      <w:r w:rsidRPr="00717D81">
        <w:rPr>
          <w:lang w:val="en-US"/>
        </w:rPr>
        <w:t>DistFlow</w:t>
      </w:r>
      <w:proofErr w:type="spellEnd"/>
      <w:r w:rsidRPr="00717D81">
        <w:rPr>
          <w:lang w:val="en-US"/>
        </w:rPr>
        <w:t>/</w:t>
      </w:r>
      <w:proofErr w:type="spellStart"/>
      <w:r w:rsidRPr="00717D81">
        <w:rPr>
          <w:lang w:val="en-US"/>
        </w:rPr>
        <w:t>LinDistFlow</w:t>
      </w:r>
      <w:proofErr w:type="spellEnd"/>
      <w:r w:rsidRPr="00717D81">
        <w:rPr>
          <w:lang w:val="en-US"/>
        </w:rPr>
        <w:t xml:space="preserve">, </w:t>
      </w:r>
      <w:proofErr w:type="spellStart"/>
      <w:r w:rsidRPr="00717D81">
        <w:rPr>
          <w:lang w:val="en-US"/>
        </w:rPr>
        <w:t>OpenDSS</w:t>
      </w:r>
      <w:proofErr w:type="spellEnd"/>
      <w:r w:rsidR="00652B9D" w:rsidRPr="00717D81">
        <w:rPr>
          <w:lang w:val="en-US"/>
        </w:rPr>
        <w:t xml:space="preserve">, </w:t>
      </w:r>
      <w:proofErr w:type="spellStart"/>
      <w:r w:rsidR="00652B9D" w:rsidRPr="00717D81">
        <w:rPr>
          <w:lang w:val="en-US"/>
        </w:rPr>
        <w:t>DIgSILENT</w:t>
      </w:r>
      <w:proofErr w:type="spellEnd"/>
      <w:r w:rsidR="00652B9D" w:rsidRPr="00717D81">
        <w:rPr>
          <w:lang w:val="en-US"/>
        </w:rPr>
        <w:t xml:space="preserve"> </w:t>
      </w:r>
      <w:proofErr w:type="spellStart"/>
      <w:r w:rsidR="00652B9D" w:rsidRPr="00717D81">
        <w:rPr>
          <w:lang w:val="en-US"/>
        </w:rPr>
        <w:t>PowerFactory</w:t>
      </w:r>
      <w:proofErr w:type="spellEnd"/>
      <w:r w:rsidRPr="00717D81">
        <w:rPr>
          <w:lang w:val="en-US"/>
        </w:rPr>
        <w:t>);</w:t>
      </w:r>
    </w:p>
    <w:p w14:paraId="0AD61640" w14:textId="77777777" w:rsidR="00E1218F" w:rsidRPr="00717D81" w:rsidRDefault="00000000">
      <w:pPr>
        <w:pStyle w:val="ListParagraph"/>
        <w:numPr>
          <w:ilvl w:val="0"/>
          <w:numId w:val="2"/>
        </w:numPr>
        <w:spacing w:after="80"/>
        <w:rPr>
          <w:lang w:val="en-US"/>
        </w:rPr>
      </w:pPr>
      <w:r w:rsidRPr="00717D81">
        <w:rPr>
          <w:lang w:val="en-US"/>
        </w:rPr>
        <w:lastRenderedPageBreak/>
        <w:t>Dynamical modeling of power system components (inverters, dynamic line models, transformers, etc.);</w:t>
      </w:r>
    </w:p>
    <w:p w14:paraId="52203E63" w14:textId="77777777" w:rsidR="00E1218F" w:rsidRPr="00717D81" w:rsidRDefault="00000000">
      <w:pPr>
        <w:pStyle w:val="ListParagraph"/>
        <w:numPr>
          <w:ilvl w:val="0"/>
          <w:numId w:val="2"/>
        </w:numPr>
        <w:spacing w:after="80"/>
        <w:rPr>
          <w:lang w:val="en-US"/>
        </w:rPr>
      </w:pPr>
      <w:r w:rsidRPr="00717D81">
        <w:rPr>
          <w:lang w:val="en-US"/>
        </w:rPr>
        <w:t>Statistical analysis and uncertainty quantification;</w:t>
      </w:r>
    </w:p>
    <w:p w14:paraId="3A062B17" w14:textId="77777777" w:rsidR="00E1218F" w:rsidRPr="00717D81" w:rsidRDefault="00000000">
      <w:pPr>
        <w:pStyle w:val="ListParagraph"/>
        <w:numPr>
          <w:ilvl w:val="0"/>
          <w:numId w:val="2"/>
        </w:numPr>
        <w:spacing w:after="80"/>
        <w:rPr>
          <w:lang w:val="en-US"/>
        </w:rPr>
      </w:pPr>
      <w:r w:rsidRPr="00717D81">
        <w:rPr>
          <w:lang w:val="en-US"/>
        </w:rPr>
        <w:t>Large-scale machine learning or neural network regression applied to power systems;</w:t>
      </w:r>
    </w:p>
    <w:p w14:paraId="19AFE401" w14:textId="77777777" w:rsidR="00E1218F" w:rsidRPr="00717D81" w:rsidRDefault="00000000">
      <w:pPr>
        <w:pStyle w:val="ListParagraph"/>
        <w:numPr>
          <w:ilvl w:val="0"/>
          <w:numId w:val="2"/>
        </w:numPr>
        <w:spacing w:after="80"/>
        <w:rPr>
          <w:lang w:val="en-US"/>
        </w:rPr>
      </w:pPr>
      <w:r w:rsidRPr="00717D81">
        <w:rPr>
          <w:lang w:val="en-US"/>
        </w:rPr>
        <w:t>Robust and interval-based optimization methods.</w:t>
      </w:r>
    </w:p>
    <w:p w14:paraId="0BCABB41" w14:textId="77777777" w:rsidR="00E1218F" w:rsidRPr="00717D81" w:rsidRDefault="00000000">
      <w:pPr>
        <w:spacing w:before="120" w:after="160"/>
        <w:jc w:val="both"/>
        <w:rPr>
          <w:lang w:val="en-US"/>
        </w:rPr>
      </w:pPr>
      <w:r w:rsidRPr="00717D81">
        <w:rPr>
          <w:lang w:val="en-US"/>
        </w:rPr>
        <w:t>Proficiency in English is required. Knowledge of Chinese is not required.</w:t>
      </w:r>
    </w:p>
    <w:p w14:paraId="7B7E6BA0" w14:textId="77777777" w:rsidR="00E1218F" w:rsidRPr="00717D81" w:rsidRDefault="00000000">
      <w:pPr>
        <w:pStyle w:val="Heading1"/>
        <w:rPr>
          <w:lang w:val="en-US"/>
        </w:rPr>
      </w:pPr>
      <w:r w:rsidRPr="00717D81">
        <w:rPr>
          <w:lang w:val="en-US"/>
        </w:rPr>
        <w:t>Compensation</w:t>
      </w:r>
    </w:p>
    <w:p w14:paraId="3BF3D01D" w14:textId="77777777" w:rsidR="00E1218F" w:rsidRPr="00717D81" w:rsidRDefault="00000000">
      <w:pPr>
        <w:spacing w:after="160"/>
        <w:jc w:val="both"/>
        <w:rPr>
          <w:lang w:val="en-US"/>
        </w:rPr>
      </w:pPr>
      <w:r w:rsidRPr="00717D81">
        <w:rPr>
          <w:lang w:val="en-US"/>
        </w:rPr>
        <w:t>The monthly salary ranges from TWD 70,000 to TWD 100,000, commensurate with qualifications and experience.</w:t>
      </w:r>
    </w:p>
    <w:p w14:paraId="1383AD19" w14:textId="77777777" w:rsidR="00E1218F" w:rsidRPr="00717D81" w:rsidRDefault="00000000">
      <w:pPr>
        <w:pStyle w:val="Heading1"/>
        <w:rPr>
          <w:lang w:val="en-US"/>
        </w:rPr>
      </w:pPr>
      <w:r w:rsidRPr="00717D81">
        <w:rPr>
          <w:lang w:val="en-US"/>
        </w:rPr>
        <w:t>Application</w:t>
      </w:r>
    </w:p>
    <w:p w14:paraId="3D945347" w14:textId="77777777" w:rsidR="00E1218F" w:rsidRPr="00717D81" w:rsidRDefault="00000000">
      <w:pPr>
        <w:spacing w:after="120"/>
        <w:jc w:val="both"/>
        <w:rPr>
          <w:lang w:val="en-US"/>
        </w:rPr>
      </w:pPr>
      <w:r w:rsidRPr="00717D81">
        <w:rPr>
          <w:lang w:val="en-US"/>
        </w:rPr>
        <w:t xml:space="preserve">The position is open until filled. Interested candidates should submit the following materials by email to Prof. Kin Cheong Sou at </w:t>
      </w:r>
      <w:r w:rsidRPr="00717D81">
        <w:rPr>
          <w:b/>
          <w:bCs/>
          <w:lang w:val="en-US"/>
        </w:rPr>
        <w:t>sou12@mail.nsysu.edu.tw</w:t>
      </w:r>
      <w:r w:rsidRPr="00717D81">
        <w:rPr>
          <w:lang w:val="en-US"/>
        </w:rPr>
        <w:t>:</w:t>
      </w:r>
    </w:p>
    <w:p w14:paraId="7E4B914C" w14:textId="77777777" w:rsidR="00E1218F" w:rsidRPr="00717D81" w:rsidRDefault="00000000">
      <w:pPr>
        <w:pStyle w:val="ListParagraph"/>
        <w:numPr>
          <w:ilvl w:val="0"/>
          <w:numId w:val="2"/>
        </w:numPr>
        <w:spacing w:after="80"/>
        <w:rPr>
          <w:lang w:val="en-US"/>
        </w:rPr>
      </w:pPr>
      <w:r w:rsidRPr="00717D81">
        <w:rPr>
          <w:lang w:val="en-US"/>
        </w:rPr>
        <w:t>Curriculum vitae (CV);</w:t>
      </w:r>
    </w:p>
    <w:p w14:paraId="34120DE4" w14:textId="77777777" w:rsidR="00E1218F" w:rsidRPr="00717D81" w:rsidRDefault="00000000">
      <w:pPr>
        <w:pStyle w:val="ListParagraph"/>
        <w:numPr>
          <w:ilvl w:val="0"/>
          <w:numId w:val="2"/>
        </w:numPr>
        <w:spacing w:after="80"/>
        <w:rPr>
          <w:lang w:val="en-US"/>
        </w:rPr>
      </w:pPr>
      <w:r w:rsidRPr="00717D81">
        <w:rPr>
          <w:lang w:val="en-US"/>
        </w:rPr>
        <w:t>Brief statement of research interests and qualifications (1–2 pages);</w:t>
      </w:r>
    </w:p>
    <w:p w14:paraId="33ABB247" w14:textId="77777777" w:rsidR="00E1218F" w:rsidRPr="00717D81" w:rsidRDefault="00000000">
      <w:pPr>
        <w:pStyle w:val="ListParagraph"/>
        <w:numPr>
          <w:ilvl w:val="0"/>
          <w:numId w:val="2"/>
        </w:numPr>
        <w:spacing w:after="80"/>
        <w:rPr>
          <w:lang w:val="en-US"/>
        </w:rPr>
      </w:pPr>
      <w:r w:rsidRPr="00717D81">
        <w:rPr>
          <w:lang w:val="en-US"/>
        </w:rPr>
        <w:t>List of publications;</w:t>
      </w:r>
    </w:p>
    <w:p w14:paraId="5CE32E73" w14:textId="77777777" w:rsidR="00E1218F" w:rsidRPr="00717D81" w:rsidRDefault="00000000">
      <w:pPr>
        <w:pStyle w:val="ListParagraph"/>
        <w:numPr>
          <w:ilvl w:val="0"/>
          <w:numId w:val="2"/>
        </w:numPr>
        <w:spacing w:after="80"/>
        <w:rPr>
          <w:lang w:val="en-US"/>
        </w:rPr>
      </w:pPr>
      <w:r w:rsidRPr="00717D81">
        <w:rPr>
          <w:lang w:val="en-US"/>
        </w:rPr>
        <w:t>Copy of PhD certificate (or expected graduation date if near completion);</w:t>
      </w:r>
    </w:p>
    <w:p w14:paraId="1279D7C2" w14:textId="77777777" w:rsidR="00E1218F" w:rsidRPr="00717D81" w:rsidRDefault="00000000">
      <w:pPr>
        <w:pStyle w:val="ListParagraph"/>
        <w:numPr>
          <w:ilvl w:val="0"/>
          <w:numId w:val="2"/>
        </w:numPr>
        <w:spacing w:after="80"/>
        <w:rPr>
          <w:lang w:val="en-US"/>
        </w:rPr>
      </w:pPr>
      <w:r w:rsidRPr="00717D81">
        <w:rPr>
          <w:lang w:val="en-US"/>
        </w:rPr>
        <w:t>Two or more letters of recommendation (or names and contact information of referees).</w:t>
      </w:r>
    </w:p>
    <w:p w14:paraId="6756E91E" w14:textId="77777777" w:rsidR="00E1218F" w:rsidRPr="00717D81" w:rsidRDefault="00000000">
      <w:pPr>
        <w:spacing w:before="160" w:after="160"/>
        <w:jc w:val="both"/>
        <w:rPr>
          <w:lang w:val="en-US"/>
        </w:rPr>
      </w:pPr>
      <w:r w:rsidRPr="00717D81">
        <w:rPr>
          <w:lang w:val="en-US"/>
        </w:rPr>
        <w:t xml:space="preserve">Review of applications will begin immediately. Candidates are encouraged to apply as soon as possible. The target start date is </w:t>
      </w:r>
      <w:proofErr w:type="gramStart"/>
      <w:r w:rsidRPr="00717D81">
        <w:rPr>
          <w:lang w:val="en-US"/>
        </w:rPr>
        <w:t>as soon as possible, and</w:t>
      </w:r>
      <w:proofErr w:type="gramEnd"/>
      <w:r w:rsidRPr="00717D81">
        <w:rPr>
          <w:lang w:val="en-US"/>
        </w:rPr>
        <w:t xml:space="preserve"> is negotiable.</w:t>
      </w:r>
    </w:p>
    <w:p w14:paraId="0C3A1438" w14:textId="77777777" w:rsidR="00E1218F" w:rsidRPr="00717D81" w:rsidRDefault="00E1218F">
      <w:pPr>
        <w:pBdr>
          <w:bottom w:val="single" w:sz="6" w:space="1" w:color="2E5496"/>
        </w:pBdr>
        <w:spacing w:after="200"/>
        <w:rPr>
          <w:lang w:val="en-US"/>
        </w:rPr>
      </w:pPr>
    </w:p>
    <w:p w14:paraId="2B266689" w14:textId="77777777" w:rsidR="00E1218F" w:rsidRPr="00717D81" w:rsidRDefault="00000000">
      <w:pPr>
        <w:pStyle w:val="Heading1"/>
        <w:rPr>
          <w:lang w:val="en-US"/>
        </w:rPr>
      </w:pPr>
      <w:r w:rsidRPr="00717D81">
        <w:rPr>
          <w:lang w:val="en-US"/>
        </w:rPr>
        <w:t>About the Supervisors</w:t>
      </w:r>
    </w:p>
    <w:p w14:paraId="7B386677" w14:textId="77777777" w:rsidR="00E1218F" w:rsidRPr="00717D81" w:rsidRDefault="00000000">
      <w:pPr>
        <w:spacing w:after="120"/>
        <w:jc w:val="both"/>
        <w:rPr>
          <w:lang w:val="en-US"/>
        </w:rPr>
      </w:pPr>
      <w:r w:rsidRPr="00717D81">
        <w:rPr>
          <w:lang w:val="en-US"/>
        </w:rPr>
        <w:t>Prof. Kin Cheong Sou (NSYSU) received his PhD in Electrical Engineering and Computer Science from MIT. His research interests include decision-making and computation techniques for power systems applications, with a particular focus on load flow analysis and uncertainty quantification for distribution systems.</w:t>
      </w:r>
    </w:p>
    <w:p w14:paraId="3DBFD51F" w14:textId="6D37479F" w:rsidR="00E1218F" w:rsidRPr="00861CA8" w:rsidRDefault="00000000">
      <w:pPr>
        <w:spacing w:after="160"/>
        <w:jc w:val="both"/>
        <w:rPr>
          <w:lang w:val="en-US"/>
        </w:rPr>
      </w:pPr>
      <w:r w:rsidRPr="00717D81">
        <w:rPr>
          <w:lang w:val="en-US"/>
        </w:rPr>
        <w:t>Prof. Henrik Sandberg (KTH) is a Professor in the D</w:t>
      </w:r>
      <w:r w:rsidR="00872306">
        <w:rPr>
          <w:lang w:val="en-US"/>
        </w:rPr>
        <w:t>epartment</w:t>
      </w:r>
      <w:r w:rsidRPr="00861CA8">
        <w:rPr>
          <w:lang w:val="en-US"/>
        </w:rPr>
        <w:t xml:space="preserve"> of Decision and Control Systems at KTH Royal Institute of Technology. He is an IEEE Fellow whose research encompasses security of cyber-physical systems, power systems, model reduction, and fundamental limitations in control.</w:t>
      </w:r>
    </w:p>
    <w:p w14:paraId="035FE3B4" w14:textId="77777777" w:rsidR="00E1218F" w:rsidRPr="00861CA8" w:rsidRDefault="00000000">
      <w:pPr>
        <w:spacing w:after="80"/>
        <w:jc w:val="both"/>
        <w:rPr>
          <w:lang w:val="en-US"/>
        </w:rPr>
      </w:pPr>
      <w:r w:rsidRPr="00861CA8">
        <w:rPr>
          <w:i/>
          <w:iCs/>
          <w:color w:val="555555"/>
          <w:lang w:val="en-US"/>
        </w:rPr>
        <w:t xml:space="preserve">National Sun Yat-sen University </w:t>
      </w:r>
      <w:proofErr w:type="gramStart"/>
      <w:r w:rsidRPr="00861CA8">
        <w:rPr>
          <w:i/>
          <w:iCs/>
          <w:color w:val="555555"/>
          <w:lang w:val="en-US"/>
        </w:rPr>
        <w:t>is located in</w:t>
      </w:r>
      <w:proofErr w:type="gramEnd"/>
      <w:r w:rsidRPr="00861CA8">
        <w:rPr>
          <w:i/>
          <w:iCs/>
          <w:color w:val="555555"/>
          <w:lang w:val="en-US"/>
        </w:rPr>
        <w:t xml:space="preserve"> Kaohsiung, Taiwan’s second-largest city, offering a vibrant research environment and high quality of life.</w:t>
      </w:r>
    </w:p>
    <w:sectPr w:rsidR="00E1218F" w:rsidRPr="00861CA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02437"/>
    <w:multiLevelType w:val="hybridMultilevel"/>
    <w:tmpl w:val="0DCCAC0E"/>
    <w:lvl w:ilvl="0" w:tplc="169A72DA">
      <w:start w:val="1"/>
      <w:numFmt w:val="bullet"/>
      <w:lvlText w:val="•"/>
      <w:lvlJc w:val="left"/>
      <w:pPr>
        <w:ind w:left="720" w:hanging="360"/>
      </w:pPr>
      <w:rPr>
        <w:rFonts w:ascii="Arial" w:eastAsia="Arial" w:hAnsi="Arial" w:cs="Arial"/>
      </w:rPr>
    </w:lvl>
    <w:lvl w:ilvl="1" w:tplc="AA949840">
      <w:numFmt w:val="decimal"/>
      <w:lvlText w:val=""/>
      <w:lvlJc w:val="left"/>
    </w:lvl>
    <w:lvl w:ilvl="2" w:tplc="5F8E3D00">
      <w:numFmt w:val="decimal"/>
      <w:lvlText w:val=""/>
      <w:lvlJc w:val="left"/>
    </w:lvl>
    <w:lvl w:ilvl="3" w:tplc="AED001FA">
      <w:numFmt w:val="decimal"/>
      <w:lvlText w:val=""/>
      <w:lvlJc w:val="left"/>
    </w:lvl>
    <w:lvl w:ilvl="4" w:tplc="44B092A8">
      <w:numFmt w:val="decimal"/>
      <w:lvlText w:val=""/>
      <w:lvlJc w:val="left"/>
    </w:lvl>
    <w:lvl w:ilvl="5" w:tplc="A0568FFC">
      <w:numFmt w:val="decimal"/>
      <w:lvlText w:val=""/>
      <w:lvlJc w:val="left"/>
    </w:lvl>
    <w:lvl w:ilvl="6" w:tplc="47084A60">
      <w:numFmt w:val="decimal"/>
      <w:lvlText w:val=""/>
      <w:lvlJc w:val="left"/>
    </w:lvl>
    <w:lvl w:ilvl="7" w:tplc="B046214A">
      <w:numFmt w:val="decimal"/>
      <w:lvlText w:val=""/>
      <w:lvlJc w:val="left"/>
    </w:lvl>
    <w:lvl w:ilvl="8" w:tplc="6A1C3A54">
      <w:numFmt w:val="decimal"/>
      <w:lvlText w:val=""/>
      <w:lvlJc w:val="left"/>
    </w:lvl>
  </w:abstractNum>
  <w:abstractNum w:abstractNumId="1" w15:restartNumberingAfterBreak="0">
    <w:nsid w:val="6F457564"/>
    <w:multiLevelType w:val="hybridMultilevel"/>
    <w:tmpl w:val="904C225E"/>
    <w:lvl w:ilvl="0" w:tplc="C450A21E">
      <w:start w:val="1"/>
      <w:numFmt w:val="bullet"/>
      <w:lvlText w:val="●"/>
      <w:lvlJc w:val="left"/>
      <w:pPr>
        <w:ind w:left="720" w:hanging="360"/>
      </w:pPr>
    </w:lvl>
    <w:lvl w:ilvl="1" w:tplc="DE248BBC">
      <w:start w:val="1"/>
      <w:numFmt w:val="bullet"/>
      <w:lvlText w:val="○"/>
      <w:lvlJc w:val="left"/>
      <w:pPr>
        <w:ind w:left="1440" w:hanging="360"/>
      </w:pPr>
    </w:lvl>
    <w:lvl w:ilvl="2" w:tplc="19425050">
      <w:start w:val="1"/>
      <w:numFmt w:val="bullet"/>
      <w:lvlText w:val="■"/>
      <w:lvlJc w:val="left"/>
      <w:pPr>
        <w:ind w:left="2160" w:hanging="360"/>
      </w:pPr>
    </w:lvl>
    <w:lvl w:ilvl="3" w:tplc="7C986DF4">
      <w:start w:val="1"/>
      <w:numFmt w:val="bullet"/>
      <w:lvlText w:val="●"/>
      <w:lvlJc w:val="left"/>
      <w:pPr>
        <w:ind w:left="2880" w:hanging="360"/>
      </w:pPr>
    </w:lvl>
    <w:lvl w:ilvl="4" w:tplc="B0DC86EA">
      <w:start w:val="1"/>
      <w:numFmt w:val="bullet"/>
      <w:lvlText w:val="○"/>
      <w:lvlJc w:val="left"/>
      <w:pPr>
        <w:ind w:left="3600" w:hanging="360"/>
      </w:pPr>
    </w:lvl>
    <w:lvl w:ilvl="5" w:tplc="67B61CAA">
      <w:start w:val="1"/>
      <w:numFmt w:val="bullet"/>
      <w:lvlText w:val="■"/>
      <w:lvlJc w:val="left"/>
      <w:pPr>
        <w:ind w:left="4320" w:hanging="360"/>
      </w:pPr>
    </w:lvl>
    <w:lvl w:ilvl="6" w:tplc="181AEE4A">
      <w:start w:val="1"/>
      <w:numFmt w:val="bullet"/>
      <w:lvlText w:val="●"/>
      <w:lvlJc w:val="left"/>
      <w:pPr>
        <w:ind w:left="5040" w:hanging="360"/>
      </w:pPr>
    </w:lvl>
    <w:lvl w:ilvl="7" w:tplc="3E98D9A2">
      <w:start w:val="1"/>
      <w:numFmt w:val="bullet"/>
      <w:lvlText w:val="●"/>
      <w:lvlJc w:val="left"/>
      <w:pPr>
        <w:ind w:left="5760" w:hanging="360"/>
      </w:pPr>
    </w:lvl>
    <w:lvl w:ilvl="8" w:tplc="C2FE2216">
      <w:start w:val="1"/>
      <w:numFmt w:val="bullet"/>
      <w:lvlText w:val="●"/>
      <w:lvlJc w:val="left"/>
      <w:pPr>
        <w:ind w:left="6480" w:hanging="360"/>
      </w:pPr>
    </w:lvl>
  </w:abstractNum>
  <w:num w:numId="1" w16cid:durableId="1851601525">
    <w:abstractNumId w:val="1"/>
    <w:lvlOverride w:ilvl="0">
      <w:startOverride w:val="1"/>
    </w:lvlOverride>
  </w:num>
  <w:num w:numId="2" w16cid:durableId="16496999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8F"/>
    <w:rsid w:val="002A664D"/>
    <w:rsid w:val="00477877"/>
    <w:rsid w:val="00652B9D"/>
    <w:rsid w:val="00717D81"/>
    <w:rsid w:val="00861CA8"/>
    <w:rsid w:val="00872306"/>
    <w:rsid w:val="0090592F"/>
    <w:rsid w:val="00A70B54"/>
    <w:rsid w:val="00D27988"/>
    <w:rsid w:val="00E1218F"/>
    <w:rsid w:val="00E8298E"/>
  </w:rsids>
  <m:mathPr>
    <m:mathFont m:val="Cambria Math"/>
    <m:brkBin m:val="before"/>
    <m:brkBinSub m:val="--"/>
    <m:smallFrac m:val="0"/>
    <m:dispDef/>
    <m:lMargin m:val="0"/>
    <m:rMargin m:val="0"/>
    <m:defJc m:val="centerGroup"/>
    <m:wrapIndent m:val="1440"/>
    <m:intLim m:val="subSup"/>
    <m:naryLim m:val="undOvr"/>
  </m:mathPr>
  <w:themeFontLang w:val="en-T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1BA3"/>
  <w15:docId w15:val="{C286992F-1258-0C4E-829B-B847A442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549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872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健翔 蘇</cp:lastModifiedBy>
  <cp:revision>6</cp:revision>
  <dcterms:created xsi:type="dcterms:W3CDTF">2026-05-11T19:32:00Z</dcterms:created>
  <dcterms:modified xsi:type="dcterms:W3CDTF">2026-05-15T03:42:00Z</dcterms:modified>
</cp:coreProperties>
</file>